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shd w:val="clear" w:color="auto" w:fill="FFFFFF"/>
        <w:tblCellMar>
          <w:left w:w="0" w:type="dxa"/>
          <w:right w:w="0" w:type="dxa"/>
        </w:tblCellMar>
        <w:tblLook w:val="04A0"/>
      </w:tblPr>
      <w:tblGrid>
        <w:gridCol w:w="8306"/>
      </w:tblGrid>
      <w:tr w:rsidR="00E57330" w:rsidRPr="00E57330" w:rsidTr="00E57330">
        <w:trPr>
          <w:trHeight w:val="750"/>
          <w:tblCellSpacing w:w="0" w:type="dxa"/>
        </w:trPr>
        <w:tc>
          <w:tcPr>
            <w:tcW w:w="0" w:type="auto"/>
            <w:tcBorders>
              <w:top w:val="nil"/>
              <w:left w:val="nil"/>
              <w:bottom w:val="nil"/>
              <w:right w:val="nil"/>
            </w:tcBorders>
            <w:shd w:val="clear" w:color="auto" w:fill="FFFFFF"/>
            <w:vAlign w:val="center"/>
            <w:hideMark/>
          </w:tcPr>
          <w:p w:rsidR="00E57330" w:rsidRPr="00E57330" w:rsidRDefault="00E57330" w:rsidP="00E57330">
            <w:pPr>
              <w:widowControl/>
              <w:spacing w:line="525" w:lineRule="atLeast"/>
              <w:jc w:val="center"/>
              <w:rPr>
                <w:rFonts w:ascii="微软雅黑" w:eastAsia="微软雅黑" w:hAnsi="微软雅黑" w:cs="宋体"/>
                <w:b/>
                <w:bCs/>
                <w:color w:val="CC0000"/>
                <w:kern w:val="0"/>
                <w:sz w:val="38"/>
                <w:szCs w:val="38"/>
              </w:rPr>
            </w:pPr>
            <w:r w:rsidRPr="00E57330">
              <w:rPr>
                <w:rFonts w:ascii="微软雅黑" w:eastAsia="微软雅黑" w:hAnsi="微软雅黑" w:cs="宋体" w:hint="eastAsia"/>
                <w:b/>
                <w:bCs/>
                <w:color w:val="CC0000"/>
                <w:kern w:val="0"/>
                <w:sz w:val="38"/>
                <w:szCs w:val="38"/>
              </w:rPr>
              <w:t>关于进一步贯通技能人才与专业技术人才职业发展通道有关问题的通知》政策解读</w:t>
            </w:r>
          </w:p>
        </w:tc>
      </w:tr>
      <w:tr w:rsidR="00E57330" w:rsidRPr="00E57330" w:rsidTr="00E57330">
        <w:trPr>
          <w:trHeight w:val="375"/>
          <w:tblCellSpacing w:w="0" w:type="dxa"/>
        </w:trPr>
        <w:tc>
          <w:tcPr>
            <w:tcW w:w="0" w:type="auto"/>
            <w:tcBorders>
              <w:top w:val="nil"/>
              <w:left w:val="nil"/>
              <w:bottom w:val="nil"/>
              <w:right w:val="nil"/>
            </w:tcBorders>
            <w:shd w:val="clear" w:color="auto" w:fill="FFFFFF"/>
            <w:vAlign w:val="center"/>
            <w:hideMark/>
          </w:tcPr>
          <w:tbl>
            <w:tblPr>
              <w:tblW w:w="5000" w:type="pct"/>
              <w:tblCellSpacing w:w="0" w:type="dxa"/>
              <w:tblCellMar>
                <w:left w:w="0" w:type="dxa"/>
                <w:right w:w="0" w:type="dxa"/>
              </w:tblCellMar>
              <w:tblLook w:val="04A0"/>
            </w:tblPr>
            <w:tblGrid>
              <w:gridCol w:w="480"/>
              <w:gridCol w:w="7496"/>
              <w:gridCol w:w="330"/>
            </w:tblGrid>
            <w:tr w:rsidR="00E57330" w:rsidRPr="00E57330">
              <w:trPr>
                <w:trHeight w:val="375"/>
                <w:tblCellSpacing w:w="0" w:type="dxa"/>
              </w:trPr>
              <w:tc>
                <w:tcPr>
                  <w:tcW w:w="480" w:type="dxa"/>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p>
              </w:tc>
              <w:tc>
                <w:tcPr>
                  <w:tcW w:w="0" w:type="auto"/>
                  <w:tcBorders>
                    <w:top w:val="nil"/>
                    <w:left w:val="nil"/>
                    <w:bottom w:val="nil"/>
                    <w:right w:val="nil"/>
                  </w:tcBorders>
                  <w:vAlign w:val="center"/>
                  <w:hideMark/>
                </w:tcPr>
                <w:p w:rsidR="00E57330" w:rsidRPr="00E57330" w:rsidRDefault="00E57330" w:rsidP="00E57330">
                  <w:pPr>
                    <w:widowControl/>
                    <w:spacing w:line="294" w:lineRule="atLeast"/>
                    <w:rPr>
                      <w:rFonts w:ascii="宋体" w:eastAsia="宋体" w:hAnsi="宋体" w:cs="宋体"/>
                      <w:kern w:val="0"/>
                      <w:szCs w:val="21"/>
                    </w:rPr>
                  </w:pPr>
                  <w:r w:rsidRPr="00E57330">
                    <w:rPr>
                      <w:rFonts w:ascii="宋体" w:eastAsia="宋体" w:hAnsi="宋体" w:cs="宋体"/>
                      <w:kern w:val="0"/>
                      <w:szCs w:val="21"/>
                    </w:rPr>
                    <w:t xml:space="preserve"> </w:t>
                  </w:r>
                </w:p>
              </w:tc>
              <w:tc>
                <w:tcPr>
                  <w:tcW w:w="330" w:type="dxa"/>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p>
              </w:tc>
            </w:tr>
          </w:tbl>
          <w:p w:rsidR="00E57330" w:rsidRPr="00E57330" w:rsidRDefault="00E57330" w:rsidP="00E57330">
            <w:pPr>
              <w:widowControl/>
              <w:spacing w:line="294" w:lineRule="atLeast"/>
              <w:jc w:val="left"/>
              <w:rPr>
                <w:rFonts w:ascii="微软雅黑" w:eastAsia="微软雅黑" w:hAnsi="微软雅黑" w:cs="宋体"/>
                <w:color w:val="000000"/>
                <w:kern w:val="0"/>
                <w:szCs w:val="21"/>
              </w:rPr>
            </w:pPr>
          </w:p>
        </w:tc>
      </w:tr>
      <w:tr w:rsidR="00E57330" w:rsidRPr="00E57330" w:rsidTr="00E57330">
        <w:trPr>
          <w:tblCellSpacing w:w="0" w:type="dxa"/>
        </w:trPr>
        <w:tc>
          <w:tcPr>
            <w:tcW w:w="0" w:type="auto"/>
            <w:tcBorders>
              <w:top w:val="nil"/>
              <w:left w:val="nil"/>
              <w:bottom w:val="nil"/>
              <w:right w:val="nil"/>
            </w:tcBorders>
            <w:shd w:val="clear" w:color="auto" w:fill="FFFFFF"/>
            <w:vAlign w:val="center"/>
            <w:hideMark/>
          </w:tcPr>
          <w:p w:rsidR="00E57330" w:rsidRPr="00E57330" w:rsidRDefault="00E57330" w:rsidP="00E57330">
            <w:pPr>
              <w:widowControl/>
              <w:spacing w:line="294" w:lineRule="atLeast"/>
              <w:jc w:val="center"/>
              <w:rPr>
                <w:rFonts w:ascii="微软雅黑" w:eastAsia="微软雅黑" w:hAnsi="微软雅黑" w:cs="宋体"/>
                <w:color w:val="000000"/>
                <w:kern w:val="0"/>
                <w:szCs w:val="21"/>
              </w:rPr>
            </w:pPr>
          </w:p>
        </w:tc>
      </w:tr>
      <w:tr w:rsidR="00E57330" w:rsidRPr="00E57330" w:rsidTr="00E57330">
        <w:trPr>
          <w:trHeight w:val="240"/>
          <w:tblCellSpacing w:w="0" w:type="dxa"/>
        </w:trPr>
        <w:tc>
          <w:tcPr>
            <w:tcW w:w="14400" w:type="dxa"/>
            <w:tcBorders>
              <w:top w:val="nil"/>
              <w:left w:val="nil"/>
              <w:bottom w:val="nil"/>
              <w:right w:val="nil"/>
            </w:tcBorders>
            <w:shd w:val="clear" w:color="auto" w:fill="FFFFFF"/>
            <w:vAlign w:val="center"/>
            <w:hideMark/>
          </w:tcPr>
          <w:tbl>
            <w:tblPr>
              <w:tblW w:w="5000" w:type="pct"/>
              <w:jc w:val="center"/>
              <w:tblCellSpacing w:w="0" w:type="dxa"/>
              <w:tblCellMar>
                <w:left w:w="0" w:type="dxa"/>
                <w:right w:w="0" w:type="dxa"/>
              </w:tblCellMar>
              <w:tblLook w:val="04A0"/>
            </w:tblPr>
            <w:tblGrid>
              <w:gridCol w:w="121"/>
              <w:gridCol w:w="8065"/>
              <w:gridCol w:w="120"/>
            </w:tblGrid>
            <w:tr w:rsidR="00E57330" w:rsidRPr="00E57330">
              <w:trPr>
                <w:tblCellSpacing w:w="0" w:type="dxa"/>
                <w:jc w:val="center"/>
              </w:trPr>
              <w:tc>
                <w:tcPr>
                  <w:tcW w:w="300" w:type="dxa"/>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r w:rsidRPr="00E57330">
                    <w:rPr>
                      <w:rFonts w:ascii="宋体" w:eastAsia="宋体" w:hAnsi="宋体" w:cs="宋体"/>
                      <w:kern w:val="0"/>
                      <w:szCs w:val="21"/>
                    </w:rPr>
                    <w:t> </w:t>
                  </w:r>
                </w:p>
              </w:tc>
              <w:tc>
                <w:tcPr>
                  <w:tcW w:w="0" w:type="auto"/>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r>
                    <w:rPr>
                      <w:rFonts w:ascii="宋体" w:eastAsia="宋体" w:hAnsi="宋体" w:cs="宋体"/>
                      <w:noProof/>
                      <w:kern w:val="0"/>
                      <w:szCs w:val="21"/>
                    </w:rPr>
                    <w:drawing>
                      <wp:inline distT="0" distB="0" distL="0" distR="0">
                        <wp:extent cx="8905875" cy="152400"/>
                        <wp:effectExtent l="19050" t="0" r="9525" b="0"/>
                        <wp:docPr id="1" name="图片 1" descr="https://file.henan.gov.cn/4500000013/img/xxym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ile.henan.gov.cn/4500000013/img/xxym_12.jpg"/>
                                <pic:cNvPicPr>
                                  <a:picLocks noChangeAspect="1" noChangeArrowheads="1"/>
                                </pic:cNvPicPr>
                              </pic:nvPicPr>
                              <pic:blipFill>
                                <a:blip r:embed="rId6"/>
                                <a:srcRect/>
                                <a:stretch>
                                  <a:fillRect/>
                                </a:stretch>
                              </pic:blipFill>
                              <pic:spPr bwMode="auto">
                                <a:xfrm>
                                  <a:off x="0" y="0"/>
                                  <a:ext cx="8905875" cy="152400"/>
                                </a:xfrm>
                                <a:prstGeom prst="rect">
                                  <a:avLst/>
                                </a:prstGeom>
                                <a:noFill/>
                                <a:ln w="9525">
                                  <a:noFill/>
                                  <a:miter lim="800000"/>
                                  <a:headEnd/>
                                  <a:tailEnd/>
                                </a:ln>
                              </pic:spPr>
                            </pic:pic>
                          </a:graphicData>
                        </a:graphic>
                      </wp:inline>
                    </w:drawing>
                  </w:r>
                </w:p>
              </w:tc>
              <w:tc>
                <w:tcPr>
                  <w:tcW w:w="75" w:type="dxa"/>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r w:rsidRPr="00E57330">
                    <w:rPr>
                      <w:rFonts w:ascii="宋体" w:eastAsia="宋体" w:hAnsi="宋体" w:cs="宋体"/>
                      <w:kern w:val="0"/>
                      <w:szCs w:val="21"/>
                    </w:rPr>
                    <w:t> </w:t>
                  </w:r>
                </w:p>
              </w:tc>
            </w:tr>
          </w:tbl>
          <w:p w:rsidR="00E57330" w:rsidRPr="00E57330" w:rsidRDefault="00E57330" w:rsidP="00E57330">
            <w:pPr>
              <w:widowControl/>
              <w:spacing w:line="294" w:lineRule="atLeast"/>
              <w:jc w:val="center"/>
              <w:rPr>
                <w:rFonts w:ascii="微软雅黑" w:eastAsia="微软雅黑" w:hAnsi="微软雅黑" w:cs="宋体"/>
                <w:color w:val="000000"/>
                <w:kern w:val="0"/>
                <w:szCs w:val="21"/>
              </w:rPr>
            </w:pPr>
          </w:p>
        </w:tc>
      </w:tr>
      <w:tr w:rsidR="00E57330" w:rsidRPr="00E57330" w:rsidTr="00E57330">
        <w:trPr>
          <w:tblCellSpacing w:w="0" w:type="dxa"/>
        </w:trPr>
        <w:tc>
          <w:tcPr>
            <w:tcW w:w="0" w:type="auto"/>
            <w:tcBorders>
              <w:top w:val="nil"/>
              <w:left w:val="nil"/>
              <w:bottom w:val="nil"/>
              <w:right w:val="nil"/>
            </w:tcBorders>
            <w:shd w:val="clear" w:color="auto" w:fill="FFFFFF"/>
            <w:vAlign w:val="center"/>
            <w:hideMark/>
          </w:tcPr>
          <w:tbl>
            <w:tblPr>
              <w:tblW w:w="5000" w:type="pct"/>
              <w:tblCellSpacing w:w="0" w:type="dxa"/>
              <w:tblCellMar>
                <w:left w:w="0" w:type="dxa"/>
                <w:right w:w="0" w:type="dxa"/>
              </w:tblCellMar>
              <w:tblLook w:val="04A0"/>
            </w:tblPr>
            <w:tblGrid>
              <w:gridCol w:w="450"/>
              <w:gridCol w:w="7856"/>
            </w:tblGrid>
            <w:tr w:rsidR="00E57330" w:rsidRPr="00E57330">
              <w:trPr>
                <w:tblCellSpacing w:w="0" w:type="dxa"/>
              </w:trPr>
              <w:tc>
                <w:tcPr>
                  <w:tcW w:w="450" w:type="dxa"/>
                  <w:tcBorders>
                    <w:top w:val="nil"/>
                    <w:left w:val="nil"/>
                    <w:bottom w:val="nil"/>
                    <w:right w:val="nil"/>
                  </w:tcBorders>
                  <w:vAlign w:val="center"/>
                  <w:hideMark/>
                </w:tcPr>
                <w:p w:rsidR="00E57330" w:rsidRPr="00E57330" w:rsidRDefault="00E57330" w:rsidP="00E57330">
                  <w:pPr>
                    <w:widowControl/>
                    <w:spacing w:line="294" w:lineRule="atLeast"/>
                    <w:jc w:val="left"/>
                    <w:rPr>
                      <w:rFonts w:ascii="宋体" w:eastAsia="宋体" w:hAnsi="宋体" w:cs="宋体"/>
                      <w:kern w:val="0"/>
                      <w:szCs w:val="21"/>
                    </w:rPr>
                  </w:pPr>
                  <w:r w:rsidRPr="00E57330">
                    <w:rPr>
                      <w:rFonts w:ascii="宋体" w:eastAsia="宋体" w:hAnsi="宋体" w:cs="宋体"/>
                      <w:kern w:val="0"/>
                      <w:szCs w:val="21"/>
                    </w:rPr>
                    <w:t> </w:t>
                  </w:r>
                </w:p>
              </w:tc>
              <w:tc>
                <w:tcPr>
                  <w:tcW w:w="0" w:type="auto"/>
                  <w:tcBorders>
                    <w:top w:val="nil"/>
                    <w:left w:val="nil"/>
                    <w:bottom w:val="nil"/>
                    <w:right w:val="nil"/>
                  </w:tcBorders>
                  <w:vAlign w:val="center"/>
                  <w:hideMark/>
                </w:tcPr>
                <w:p w:rsidR="00E57330" w:rsidRPr="00E57330" w:rsidRDefault="00E57330" w:rsidP="00E57330">
                  <w:pPr>
                    <w:widowControl/>
                    <w:spacing w:line="480" w:lineRule="atLeast"/>
                    <w:jc w:val="left"/>
                    <w:rPr>
                      <w:rFonts w:ascii="宋体" w:eastAsia="宋体" w:hAnsi="宋体" w:cs="宋体"/>
                      <w:color w:val="000000"/>
                      <w:kern w:val="0"/>
                      <w:sz w:val="24"/>
                      <w:szCs w:val="24"/>
                    </w:rPr>
                  </w:pP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一、《通知》的起草背景</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2016年11月，中共中央办公厅、国务院办公厅印发的《关于深化职称制度改革的意见》和2017年11月河南省委办公厅、河南省政府办公厅印发的《关于深化职称制度改革的实施意见》均明确指出：“打通高技能人才与工程技术人才职业发展通道，符合条件的高技能人才，可参加工程系列专业技术人才职称评审。”2017年12月，我省研究出台了《关于贯通技能人才与专业技术人才发展通道有关问题的通知》，实现了在工程领域进行技能人才与专业技术人才贯通互报。2018年11月，人力资源和社会保障部印发了《关于在工程技术领域实现高技能人才与专业技术人才职业发展贯通的意见》，我省已提前一年完成政策落实。2021年1月，人力资源和社会保障部印发的《关于进一步加强高技能人才与专业技术人才职业发展贯通的实施意见》要求：将贯通领域进一步扩大。我厅研究起草了扩大贯通领域的文件《关于进一步贯通技能人才与专业技术人才职业发展通道有关问题的通知》。</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二、《通知》的主要内容</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《通知》分为适用对象、技能人才和专业技术人才互通申报范围、申报评审原则、技能人才视同学历认定、技能人才申报（考核）专业技术职称条件、专业技术人员申报技能职业资格条件和转岗与聘用七部分。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三、《通知》适用对象</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lastRenderedPageBreak/>
                    <w:t xml:space="preserve">　　适用对象是在我省行政区域内企事业单位及自由职业者。</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四、《通知》互通范围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从事工程、农业、工艺美术、文物博物、实验技术、艺术、体育、技工院校教师等领域工作的技能人才和专业技术人才可互通申报。其他系列中有一定技术含量的高技能人才也可申报职称评审。同时，支持技能人才取得经济、会计、统计、审计、翻译、出版、通信、计算机技术与软件等专业技术人员职业资格。</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五、《通知》确立互通申报的原则</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互通申报的原则有四条：一是自愿申报，在自愿申报的基础上，申报人员不受单位岗位结构比例限制；二是专业相近。原则上申报的专业与所从事的专业相近或者一致；三是类型适用。主要是针对技能人才申报专业技术职称，要按照应用型人才评价方式和标准，主要考察技能人才的职业能力和工作业绩，弘扬工匠精神，不将论文、学历、奖项等作为评价技能人才的限制性条件；四是等级对应。严格按照《通知》规定的申报条件进行申报。</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六、《通知》规定的互通申报条件</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技能人才申报职称条件：</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（一）考核认定初级职称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具备下列条件之一者，可以考核认定为初级职称：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1．取得相应专业中级工职业资格或职业技能等级证书，在岗且从事本专业满1年可考核认定员级职称，或者在岗且从事本专业工作满5年，可考核认定助理级职称；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2．取得相应专业高级工职业资格或职业技能等级证书后，在岗且从事本专业工作满1年可考核认定员级职称，或者在岗且从事本专业工作满2年</w:t>
                  </w:r>
                  <w:r w:rsidRPr="00E57330">
                    <w:rPr>
                      <w:rFonts w:ascii="仿宋_GB2312" w:eastAsia="仿宋_GB2312" w:hAnsi="宋体" w:cs="宋体" w:hint="eastAsia"/>
                      <w:color w:val="000000"/>
                      <w:kern w:val="0"/>
                      <w:sz w:val="24"/>
                      <w:szCs w:val="24"/>
                    </w:rPr>
                    <w:lastRenderedPageBreak/>
                    <w:t>可考核认定助理级职称；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3．取得相应专业技师职业资格或职业技能等级证书后，在岗且从事本专业工作满1年可考核认定助理级职称。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（二）申报中级职称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具备下列条件之一者，可以申报评审中级职称：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1．取得相应专业技师职业资格或职业技能等级证书后，在岗且从事本专业工作满3年；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2．在岗且从事本专业的“河南省技术能手”获得者。</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（三）申报高级职称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具备下列条件之一者，可以申报高级职称：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1．取得相应专业高级技师职业资格或职业技能等级证书后，在岗且从事本专业工作满4年；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2．在岗且从事本专业的“全国技术能手”或“中原技能大奖”获得者。</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（四）申报正高级职称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具备下列条件之一者，可以申报正高级职称：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1．在岗且从事本专业的我省特级技师获得者；</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2．在岗且从事本专业的“中华技能大奖”获得者；</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3．获得“全国技术能手”或“中原技能大奖”的高级技师，在岗且从事本专业工作满18年。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lastRenderedPageBreak/>
                    <w:t xml:space="preserve">　　专业技术人才申报技能职业资格条件：</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（一）申报技师职业资格或职业技能等级</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具备下列条件之一者，可申报相关职业技师职业资格或职业技能等级：</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1．取得相应初级专业技术职称满3年；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2．取得相应系列（专业）中级职称；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（二）申报高级技师职业资格或职业技能等级</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具备下列条件之一者，可申报相关职业高级技师职业资格或职业技能等级：</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1．取得相应系列（专业）中级职称满3年；</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2．取得相应系列（专业）高级职称。</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仿宋_GB2312" w:eastAsia="仿宋_GB2312" w:hAnsi="宋体" w:cs="宋体" w:hint="eastAsia"/>
                      <w:b/>
                      <w:bCs/>
                      <w:color w:val="000000"/>
                      <w:kern w:val="0"/>
                      <w:sz w:val="24"/>
                      <w:szCs w:val="24"/>
                    </w:rPr>
                    <w:t>（三）院校教师申报技能职业资格</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院校专业教师可根据自身职称情况，可自主申报相应等级的技能职业资格。</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w:t>
                  </w:r>
                  <w:r w:rsidRPr="00E57330">
                    <w:rPr>
                      <w:rFonts w:ascii="Arial" w:eastAsia="仿宋_GB2312" w:hAnsi="Arial" w:cs="Arial"/>
                      <w:b/>
                      <w:bCs/>
                      <w:color w:val="000000"/>
                      <w:kern w:val="0"/>
                      <w:sz w:val="24"/>
                      <w:szCs w:val="24"/>
                    </w:rPr>
                    <w:t>七、《通知》认定技能人才学历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根据《河南省职业培训条例》第三十八条规定，全日制技工院校毕业生可以参照中专、大专、本科学历：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（一）全日制技工院校中级工班毕业生参照中专学历；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（二）全日制技工院校高级工班毕业生参照大专学历；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（三）全日制技工院校预备技师班（技师）班毕业生参照本科学历。</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lastRenderedPageBreak/>
                    <w:t xml:space="preserve">　　</w:t>
                  </w:r>
                  <w:r w:rsidRPr="00E57330">
                    <w:rPr>
                      <w:rFonts w:ascii="Arial" w:eastAsia="仿宋_GB2312" w:hAnsi="Arial" w:cs="Arial"/>
                      <w:b/>
                      <w:bCs/>
                      <w:color w:val="000000"/>
                      <w:kern w:val="0"/>
                      <w:sz w:val="24"/>
                      <w:szCs w:val="24"/>
                    </w:rPr>
                    <w:t>八、《通知》规定评审通过后的转岗问题</w:t>
                  </w:r>
                </w:p>
                <w:p w:rsidR="00E57330" w:rsidRPr="00E57330" w:rsidRDefault="00E57330" w:rsidP="00E57330">
                  <w:pPr>
                    <w:widowControl/>
                    <w:spacing w:before="100" w:beforeAutospacing="1" w:after="100" w:afterAutospacing="1" w:line="480" w:lineRule="atLeast"/>
                    <w:jc w:val="left"/>
                    <w:rPr>
                      <w:rFonts w:ascii="宋体" w:eastAsia="宋体" w:hAnsi="宋体" w:cs="宋体" w:hint="eastAsia"/>
                      <w:color w:val="000000"/>
                      <w:kern w:val="0"/>
                      <w:sz w:val="24"/>
                      <w:szCs w:val="24"/>
                    </w:rPr>
                  </w:pPr>
                  <w:r w:rsidRPr="00E57330">
                    <w:rPr>
                      <w:rFonts w:ascii="仿宋_GB2312" w:eastAsia="仿宋_GB2312" w:hAnsi="宋体" w:cs="宋体" w:hint="eastAsia"/>
                      <w:color w:val="000000"/>
                      <w:kern w:val="0"/>
                      <w:sz w:val="24"/>
                      <w:szCs w:val="24"/>
                    </w:rPr>
                    <w:t xml:space="preserve">　　事业单位技能人员和专业技术人员取得相应职称和技能职业资格或职业技能等级后，仍保持原聘任岗位不变，如需转岗，依据河南省人力资源和社会保障厅关于印发《河南省事业单位工作人员转岗竞聘实施意见（试行）》（豫人社事业[2012]5号）的通知文件精神办理转岗聘用。</w:t>
                  </w:r>
                </w:p>
                <w:p w:rsidR="00E57330" w:rsidRPr="00E57330" w:rsidRDefault="00E57330" w:rsidP="00E57330">
                  <w:pPr>
                    <w:widowControl/>
                    <w:spacing w:before="100" w:beforeAutospacing="1" w:after="100" w:afterAutospacing="1" w:line="480" w:lineRule="atLeast"/>
                    <w:jc w:val="left"/>
                    <w:rPr>
                      <w:rFonts w:ascii="宋体" w:eastAsia="宋体" w:hAnsi="宋体" w:cs="宋体"/>
                      <w:color w:val="000000"/>
                      <w:kern w:val="0"/>
                      <w:sz w:val="24"/>
                      <w:szCs w:val="24"/>
                    </w:rPr>
                  </w:pPr>
                  <w:r w:rsidRPr="00E57330">
                    <w:rPr>
                      <w:rFonts w:ascii="仿宋_GB2312" w:eastAsia="仿宋_GB2312" w:hAnsi="宋体" w:cs="宋体" w:hint="eastAsia"/>
                      <w:color w:val="000000"/>
                      <w:kern w:val="0"/>
                      <w:sz w:val="24"/>
                      <w:szCs w:val="24"/>
                    </w:rPr>
                    <w:t xml:space="preserve">　　本《政策解读》在省人力资源社会保障厅官方网站公开</w:t>
                  </w:r>
                </w:p>
              </w:tc>
            </w:tr>
          </w:tbl>
          <w:p w:rsidR="00E57330" w:rsidRPr="00E57330" w:rsidRDefault="00E57330" w:rsidP="00E57330">
            <w:pPr>
              <w:widowControl/>
              <w:spacing w:line="294" w:lineRule="atLeast"/>
              <w:jc w:val="left"/>
              <w:rPr>
                <w:rFonts w:ascii="微软雅黑" w:eastAsia="微软雅黑" w:hAnsi="微软雅黑" w:cs="宋体"/>
                <w:color w:val="000000"/>
                <w:kern w:val="0"/>
                <w:szCs w:val="21"/>
              </w:rPr>
            </w:pPr>
          </w:p>
        </w:tc>
      </w:tr>
    </w:tbl>
    <w:p w:rsidR="00A015EC" w:rsidRPr="00E57330" w:rsidRDefault="00A015EC"/>
    <w:sectPr w:rsidR="00A015EC" w:rsidRPr="00E573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5EC" w:rsidRDefault="00A015EC" w:rsidP="00E57330">
      <w:r>
        <w:separator/>
      </w:r>
    </w:p>
  </w:endnote>
  <w:endnote w:type="continuationSeparator" w:id="1">
    <w:p w:rsidR="00A015EC" w:rsidRDefault="00A015EC" w:rsidP="00E573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5EC" w:rsidRDefault="00A015EC" w:rsidP="00E57330">
      <w:r>
        <w:separator/>
      </w:r>
    </w:p>
  </w:footnote>
  <w:footnote w:type="continuationSeparator" w:id="1">
    <w:p w:rsidR="00A015EC" w:rsidRDefault="00A015EC" w:rsidP="00E573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7330"/>
    <w:rsid w:val="00A015EC"/>
    <w:rsid w:val="00E573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73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57330"/>
    <w:rPr>
      <w:sz w:val="18"/>
      <w:szCs w:val="18"/>
    </w:rPr>
  </w:style>
  <w:style w:type="paragraph" w:styleId="a4">
    <w:name w:val="footer"/>
    <w:basedOn w:val="a"/>
    <w:link w:val="Char0"/>
    <w:uiPriority w:val="99"/>
    <w:semiHidden/>
    <w:unhideWhenUsed/>
    <w:rsid w:val="00E573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57330"/>
    <w:rPr>
      <w:sz w:val="18"/>
      <w:szCs w:val="18"/>
    </w:rPr>
  </w:style>
  <w:style w:type="character" w:styleId="a5">
    <w:name w:val="Hyperlink"/>
    <w:basedOn w:val="a0"/>
    <w:uiPriority w:val="99"/>
    <w:semiHidden/>
    <w:unhideWhenUsed/>
    <w:rsid w:val="00E57330"/>
    <w:rPr>
      <w:color w:val="0000FF"/>
      <w:u w:val="single"/>
    </w:rPr>
  </w:style>
  <w:style w:type="paragraph" w:styleId="a6">
    <w:name w:val="Normal (Web)"/>
    <w:basedOn w:val="a"/>
    <w:uiPriority w:val="99"/>
    <w:unhideWhenUsed/>
    <w:rsid w:val="00E5733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57330"/>
    <w:rPr>
      <w:b/>
      <w:bCs/>
    </w:rPr>
  </w:style>
  <w:style w:type="paragraph" w:styleId="a8">
    <w:name w:val="Balloon Text"/>
    <w:basedOn w:val="a"/>
    <w:link w:val="Char1"/>
    <w:uiPriority w:val="99"/>
    <w:semiHidden/>
    <w:unhideWhenUsed/>
    <w:rsid w:val="00E57330"/>
    <w:rPr>
      <w:sz w:val="18"/>
      <w:szCs w:val="18"/>
    </w:rPr>
  </w:style>
  <w:style w:type="character" w:customStyle="1" w:styleId="Char1">
    <w:name w:val="批注框文本 Char"/>
    <w:basedOn w:val="a0"/>
    <w:link w:val="a8"/>
    <w:uiPriority w:val="99"/>
    <w:semiHidden/>
    <w:rsid w:val="00E57330"/>
    <w:rPr>
      <w:sz w:val="18"/>
      <w:szCs w:val="18"/>
    </w:rPr>
  </w:style>
</w:styles>
</file>

<file path=word/webSettings.xml><?xml version="1.0" encoding="utf-8"?>
<w:webSettings xmlns:r="http://schemas.openxmlformats.org/officeDocument/2006/relationships" xmlns:w="http://schemas.openxmlformats.org/wordprocessingml/2006/main">
  <w:divs>
    <w:div w:id="207207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1897</Characters>
  <Application>Microsoft Office Word</Application>
  <DocSecurity>0</DocSecurity>
  <Lines>15</Lines>
  <Paragraphs>4</Paragraphs>
  <ScaleCrop>false</ScaleCrop>
  <Company>微软中国</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2021-06-20T10:00:00Z</dcterms:created>
  <dcterms:modified xsi:type="dcterms:W3CDTF">2021-06-20T10:02:00Z</dcterms:modified>
</cp:coreProperties>
</file>